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F90552" w:rsidP="00AE6B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896AA9D" wp14:editId="171BFC5D">
            <wp:simplePos x="0" y="0"/>
            <wp:positionH relativeFrom="margin">
              <wp:posOffset>118745</wp:posOffset>
            </wp:positionH>
            <wp:positionV relativeFrom="margin">
              <wp:posOffset>-1080135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08">
        <w:rPr>
          <w:rFonts w:ascii="Arial" w:hAnsi="Arial" w:cs="Arial"/>
          <w:b/>
          <w:sz w:val="28"/>
          <w:szCs w:val="28"/>
        </w:rPr>
        <w:t>MUNICIPIO DE LOS REYES, MICHOACÁN</w:t>
      </w:r>
    </w:p>
    <w:p w:rsidR="002D5FD0" w:rsidRDefault="002D5FD0" w:rsidP="002D5FD0">
      <w:pPr>
        <w:autoSpaceDE w:val="0"/>
        <w:autoSpaceDN w:val="0"/>
        <w:adjustRightInd w:val="0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XXII (P</w:t>
      </w:r>
      <w:r w:rsidRPr="00AC32F8">
        <w:rPr>
          <w:rFonts w:ascii="Arial" w:eastAsia="Times New Roman" w:hAnsi="Arial" w:cs="Arial"/>
          <w:b/>
          <w:bCs/>
          <w:sz w:val="24"/>
          <w:szCs w:val="24"/>
        </w:rPr>
        <w:t xml:space="preserve">ROGRAMAS </w:t>
      </w:r>
      <w:r>
        <w:rPr>
          <w:rFonts w:ascii="Arial" w:eastAsia="Times New Roman" w:hAnsi="Arial" w:cs="Arial"/>
          <w:b/>
          <w:bCs/>
          <w:sz w:val="24"/>
          <w:szCs w:val="24"/>
        </w:rPr>
        <w:t>DE DESARROLLO SOCIAL)</w:t>
      </w:r>
    </w:p>
    <w:tbl>
      <w:tblPr>
        <w:tblW w:w="13805" w:type="dxa"/>
        <w:jc w:val="center"/>
        <w:tblInd w:w="-3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65"/>
        <w:gridCol w:w="3301"/>
        <w:gridCol w:w="1231"/>
        <w:gridCol w:w="1146"/>
        <w:gridCol w:w="1667"/>
        <w:gridCol w:w="2694"/>
      </w:tblGrid>
      <w:tr w:rsidR="00F90552" w:rsidRPr="00AC32F8" w:rsidTr="005448CC">
        <w:trPr>
          <w:trHeight w:val="12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F90552" w:rsidRPr="00F101C1" w:rsidRDefault="00F90552" w:rsidP="003D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101C1">
              <w:rPr>
                <w:rFonts w:ascii="Arial" w:eastAsia="Times New Roman" w:hAnsi="Arial" w:cs="Arial"/>
                <w:b/>
                <w:sz w:val="14"/>
                <w:szCs w:val="14"/>
              </w:rPr>
              <w:t>Periodo</w:t>
            </w:r>
          </w:p>
          <w:p w:rsidR="00F90552" w:rsidRPr="00F101C1" w:rsidRDefault="00F90552" w:rsidP="003D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101C1">
              <w:rPr>
                <w:rFonts w:ascii="Arial" w:eastAsia="Times New Roman" w:hAnsi="Arial" w:cs="Arial"/>
                <w:b/>
                <w:sz w:val="14"/>
                <w:szCs w:val="14"/>
              </w:rPr>
              <w:t>reportado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90552" w:rsidRPr="00F101C1" w:rsidRDefault="00F90552" w:rsidP="003D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101C1">
              <w:rPr>
                <w:rFonts w:ascii="Arial" w:eastAsia="Times New Roman" w:hAnsi="Arial" w:cs="Arial"/>
                <w:b/>
                <w:sz w:val="14"/>
                <w:szCs w:val="14"/>
              </w:rPr>
              <w:t>Nombre del programa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90552" w:rsidRPr="00F101C1" w:rsidRDefault="00F90552" w:rsidP="003D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101C1">
              <w:rPr>
                <w:rFonts w:ascii="Arial" w:eastAsia="Times New Roman" w:hAnsi="Arial" w:cs="Arial"/>
                <w:b/>
                <w:sz w:val="14"/>
                <w:szCs w:val="14"/>
              </w:rPr>
              <w:t>Objetivo del programa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F90552" w:rsidRPr="00F101C1" w:rsidRDefault="00F90552" w:rsidP="003D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101C1">
              <w:rPr>
                <w:rFonts w:ascii="Arial" w:eastAsia="Times New Roman" w:hAnsi="Arial" w:cs="Arial"/>
                <w:b/>
                <w:sz w:val="14"/>
                <w:szCs w:val="14"/>
              </w:rPr>
              <w:t>Periodicidad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F90552" w:rsidRPr="00F101C1" w:rsidRDefault="00F90552" w:rsidP="003D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101C1">
              <w:rPr>
                <w:rFonts w:ascii="Arial" w:eastAsia="Times New Roman" w:hAnsi="Arial" w:cs="Arial"/>
                <w:b/>
                <w:sz w:val="14"/>
                <w:szCs w:val="14"/>
              </w:rPr>
              <w:t>Unidad administrativa que otorga o administra el programa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90552" w:rsidRPr="00F101C1" w:rsidRDefault="00F90552" w:rsidP="003D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101C1">
              <w:rPr>
                <w:rFonts w:ascii="Arial" w:eastAsia="Times New Roman" w:hAnsi="Arial" w:cs="Arial"/>
                <w:b/>
                <w:sz w:val="14"/>
                <w:szCs w:val="14"/>
              </w:rPr>
              <w:t>Reglas de operación del programa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90552" w:rsidRPr="00F101C1" w:rsidRDefault="00F90552" w:rsidP="003D7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01C1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Vínculo al programa respectivo</w:t>
            </w:r>
          </w:p>
        </w:tc>
      </w:tr>
      <w:tr w:rsidR="0026509D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D" w:rsidRDefault="00A63CA6">
            <w:r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9D" w:rsidRDefault="00954968" w:rsidP="00F2489E">
            <w:pPr>
              <w:spacing w:after="0" w:line="240" w:lineRule="auto"/>
              <w:jc w:val="center"/>
            </w:pPr>
            <w:r w:rsidRPr="00954968">
              <w:rPr>
                <w:rFonts w:ascii="trajan" w:eastAsia="Times New Roman" w:hAnsi="trajan" w:cs="Times New Roman"/>
                <w:color w:val="BA2025"/>
                <w:sz w:val="30"/>
                <w:szCs w:val="30"/>
              </w:rPr>
              <w:t>Programa de Apoyo a Instancias de Mujeres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9D" w:rsidRPr="00AC32F8" w:rsidRDefault="0026509D" w:rsidP="00F2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Su objetivo es contribuir a una sociedad igualitaria mediante la prevención y atención de la violencia contra las mujeres, apoyando proyectos anuales y acciones específicas que promueven y operan las Instancias de Mujeres en las Entidades Federativas (IMEF), en coordinación con diversas instancias públicas y sociales.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09D" w:rsidRDefault="0026509D" w:rsidP="00F2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  <w:p w:rsidR="0026509D" w:rsidRPr="00AC32F8" w:rsidRDefault="0026509D" w:rsidP="00F2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09D" w:rsidRPr="00AC32F8" w:rsidRDefault="0026509D" w:rsidP="00F248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09D" w:rsidRPr="00AC32F8" w:rsidRDefault="007F100E" w:rsidP="00F2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8" w:history="1">
              <w:r w:rsidR="0026509D" w:rsidRPr="0026509D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  <w:r w:rsidR="0026509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9D" w:rsidRDefault="007F100E" w:rsidP="00F2489E">
            <w:pPr>
              <w:jc w:val="center"/>
            </w:pPr>
            <w:hyperlink r:id="rId9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 w:rsidP="00F248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Jornaleros Agrícolas</w:t>
            </w:r>
          </w:p>
          <w:p w:rsidR="00936BD6" w:rsidRPr="0026509D" w:rsidRDefault="00936BD6" w:rsidP="0026509D">
            <w:pPr>
              <w:shd w:val="clear" w:color="auto" w:fill="FAFAFA"/>
              <w:spacing w:before="150" w:after="240" w:line="330" w:lineRule="atLeast"/>
              <w:outlineLvl w:val="1"/>
              <w:rPr>
                <w:rFonts w:ascii="trajan" w:eastAsia="Times New Roman" w:hAnsi="trajan" w:cs="Times New Roman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El Programa de Atención a Jornaleros Agrícolas</w:t>
            </w:r>
            <w:r>
              <w:rPr>
                <w:rStyle w:val="apple-converted-space"/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 </w:t>
            </w:r>
            <w:r>
              <w:rPr>
                <w:rStyle w:val="Textoennegrita"/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apoya a los jornaleros agrícolas y sus familias</w:t>
            </w: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 xml:space="preserve">, mediante acciones orientadas a generar igualdad de oportunidades y ampliación de sus capacidades. Se entregan apoyos económicos para el desarrollo de capacidades, dirigidos a mejorar las condiciones de alimentación, salud y educación de la población jornalera agrícola; apoyos para </w:t>
            </w: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lastRenderedPageBreak/>
              <w:t>infraestructura; servicios de acompañamiento así como apoyos para el desarrollo de habilidades personales y sociales.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Anual</w:t>
            </w:r>
          </w:p>
          <w:p w:rsidR="00936BD6" w:rsidRPr="00AC32F8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2650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7F100E" w:rsidP="00F2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="00936BD6" w:rsidRPr="0026509D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  <w:p w:rsidR="00936BD6" w:rsidRDefault="00936BD6" w:rsidP="00F2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11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Coinversión Social</w:t>
            </w:r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Pr="0026509D" w:rsidRDefault="00936BD6" w:rsidP="0026509D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El programa de Coinversión Social PCS, promueve y fortalece la participación de la Sociedad Civil organizada en acciones de desarrollo social que beneficien a personas en situación de pobreza o vulnerabilidad.</w:t>
            </w:r>
          </w:p>
          <w:p w:rsidR="00936BD6" w:rsidRPr="0026509D" w:rsidRDefault="00936BD6" w:rsidP="0026509D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El PCS se basa en el principio de corresponsabilidad, a través de un esquema de coinversión, sumando los recursos gubernamentales con los de los actores sociales para realizar los proyectos.</w:t>
            </w:r>
          </w:p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  <w:p w:rsidR="00936BD6" w:rsidRPr="00AC32F8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2650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7F100E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" w:history="1">
              <w:r w:rsidR="00936BD6" w:rsidRPr="0026509D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13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 xml:space="preserve">Abasto Rural / </w:t>
            </w:r>
            <w:proofErr w:type="spellStart"/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Diconsa</w:t>
            </w:r>
            <w:proofErr w:type="spellEnd"/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Pr="0026509D" w:rsidRDefault="00936BD6" w:rsidP="0026509D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El Programa de Abasto Rural contribuye al desarrollo de capacidades básicas mejorando la nutrición de la población que habita de alta y muy alta marginación con productos básicos y complementarios de calidad en forma económica, eficiente y oportuna.</w:t>
            </w:r>
          </w:p>
          <w:p w:rsidR="00936BD6" w:rsidRPr="0026509D" w:rsidRDefault="00936BD6" w:rsidP="0026509D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 xml:space="preserve">El Programa tendrá una cobertura </w:t>
            </w:r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lastRenderedPageBreak/>
              <w:t>nacional, atendiendo a la población que se encuentre en localidades que tengan al menos alguna de las siguientes características:</w:t>
            </w:r>
          </w:p>
          <w:p w:rsidR="00936BD6" w:rsidRPr="0026509D" w:rsidRDefault="00936BD6" w:rsidP="0026509D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Ser de alta o muy alta marginación, con un rango de población de entre 200 y 2,500 habitantes.</w:t>
            </w:r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br/>
              <w:t xml:space="preserve">Contar con Tiendas en funcionamiento, que hayan sido instaladas de acuerdo con normas de </w:t>
            </w:r>
            <w:proofErr w:type="spellStart"/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Diconsa</w:t>
            </w:r>
            <w:proofErr w:type="spellEnd"/>
            <w:r w:rsidRPr="0026509D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 xml:space="preserve"> y Reglas de Operación de ejercicios anteriores a las presentes.</w:t>
            </w:r>
          </w:p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Anual</w:t>
            </w:r>
          </w:p>
          <w:p w:rsidR="00936BD6" w:rsidRPr="00AC32F8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2650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BD6" w:rsidRDefault="007F100E">
            <w:hyperlink r:id="rId14" w:history="1">
              <w:r w:rsidR="00936BD6" w:rsidRPr="0026509D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15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Empleo Temporal (PET)</w:t>
            </w:r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El Programa de Empleo Temporal (PET) contribuye al bienestar de hombres y mujeres que enfrentan una reducción de sus ingresos, y de la población afectada por emergencias mediante apoyos económicos temporales por su participación en proyectos de beneficio familiar o comunitario.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  <w:p w:rsidR="00936BD6" w:rsidRPr="00AC32F8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2650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BD6" w:rsidRDefault="007F100E">
            <w:hyperlink r:id="rId16" w:history="1">
              <w:r w:rsidR="00936BD6"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17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 xml:space="preserve">Fondo Nacional para el Fomento de las </w:t>
            </w:r>
            <w:proofErr w:type="spellStart"/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lastRenderedPageBreak/>
              <w:t>Artesanias</w:t>
            </w:r>
            <w:proofErr w:type="spellEnd"/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lastRenderedPageBreak/>
              <w:t xml:space="preserve">El Fondo Nacional para el Fomento de las Artesanías (FONART) es un fideicomiso público del Gobierno Federal, sectorizado en la Secretaría de Desarrollo Social, que surge </w:t>
            </w: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lastRenderedPageBreak/>
              <w:t>como una respuesta a la necesidad de promover la actividad artesanal del país y contribuir así a la generación de un mayor ingreso familiar de las y los artesanos; mediante su desarrollo humano, social y económico. Fue constituido el 28 de mayo de 1974 por mandato del Ejecutivo Federal con el objeto social de fomentar la actividad artesanal en el país.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Anual</w:t>
            </w:r>
          </w:p>
          <w:p w:rsidR="00936BD6" w:rsidRPr="00AC32F8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2650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BD6" w:rsidRDefault="007F100E">
            <w:hyperlink r:id="rId18" w:history="1">
              <w:r w:rsidR="00936BD6"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19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 xml:space="preserve">Abasto de leche / </w:t>
            </w:r>
            <w:proofErr w:type="spellStart"/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Liconsa</w:t>
            </w:r>
            <w:proofErr w:type="spellEnd"/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Pr="005448CC" w:rsidRDefault="00936BD6" w:rsidP="005448CC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proofErr w:type="spellStart"/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Liconsa</w:t>
            </w:r>
            <w:proofErr w:type="spellEnd"/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, empresa de participación estatal mayoritaria, industrializa leche de elevada calidad y la distribuye a precio subsidiado en apoyo a la nutrición de millones de mexicanos, especialmente de niños de hasta 12 años, de familias en condiciones de pobreza, contribuyendo así a su adecuada incorporación al desarrollo del país.</w:t>
            </w:r>
          </w:p>
          <w:p w:rsidR="00936BD6" w:rsidRPr="005448CC" w:rsidRDefault="00936BD6" w:rsidP="005448CC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 xml:space="preserve">En forma complementaria lleva a </w:t>
            </w:r>
            <w:proofErr w:type="gramStart"/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cabo la adquisición de leche nacional en apoyo a la comercialización de lácteo producido por ganaderos nacionales</w:t>
            </w:r>
            <w:proofErr w:type="gramEnd"/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.</w:t>
            </w:r>
          </w:p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  <w:p w:rsidR="00936BD6" w:rsidRPr="00AC32F8" w:rsidRDefault="00936BD6" w:rsidP="00265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26509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BD6" w:rsidRDefault="007F100E">
            <w:hyperlink r:id="rId20" w:history="1">
              <w:r w:rsidR="00936BD6"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21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Pensión para Adultos Mayores</w:t>
            </w:r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El Programa de Pensión para Adultos Mayores,</w:t>
            </w:r>
            <w:r>
              <w:rPr>
                <w:rStyle w:val="apple-converted-space"/>
                <w:rFonts w:ascii="Adobe Caslon Pro" w:hAnsi="Adobe Caslon Pro"/>
                <w:b/>
                <w:bCs/>
                <w:color w:val="515151"/>
                <w:sz w:val="23"/>
                <w:szCs w:val="23"/>
                <w:shd w:val="clear" w:color="auto" w:fill="FAFAFA"/>
              </w:rPr>
              <w:t> </w:t>
            </w:r>
            <w:r>
              <w:rPr>
                <w:rStyle w:val="Textoennegrita"/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atiende a las personas adultas mayores de 65 años en adelante y tiene cobertura a nivel nacional.</w:t>
            </w:r>
            <w:r>
              <w:rPr>
                <w:rStyle w:val="apple-converted-space"/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 </w:t>
            </w: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 xml:space="preserve">Las y los beneficiarios reciben apoyos económicos de 580 pesos mensuales con entregas de 1,160 pesos cada dos meses; también participan en grupos de crecimiento y jornadas informativas sobre temas de salud y obtienen facilidades para acceder a servicios y apoyos de instituciones como el </w:t>
            </w:r>
            <w:proofErr w:type="spellStart"/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Inapam</w:t>
            </w:r>
            <w:proofErr w:type="spellEnd"/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, además de aquellas que ofrecen actividades productivas y ocupacionales.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  <w:p w:rsidR="00936BD6" w:rsidRPr="00AC32F8" w:rsidRDefault="00936BD6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A63C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BD6" w:rsidRDefault="007F100E" w:rsidP="00A63CA6">
            <w:hyperlink r:id="rId22" w:history="1">
              <w:r w:rsidR="00936BD6"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23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PROSPERA</w:t>
            </w:r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 xml:space="preserve">El Programa de Inclusión Social PROSPERA articula y coordina la oferta institucional de programas y acciones de política social, incluyendo aquellas relacionadas con el fomento productivo, generación de  ingresos, bienestar económico, inclusión financiera y laboral, educación, alimentación y salud, dirigida a la población que se encuentre en situación de pobreza extrema, bajo esquemas de corresponsabilidad que les permitan a las familias mejorar </w:t>
            </w: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lastRenderedPageBreak/>
              <w:t>sus condiciones de vida y aseguren el disfrute de sus derechos sociales y el acceso al desarrollo social con igualdad de oportunidades.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Anual</w:t>
            </w:r>
          </w:p>
          <w:p w:rsidR="00936BD6" w:rsidRPr="00AC32F8" w:rsidRDefault="00936BD6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A63C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BD6" w:rsidRDefault="007F100E" w:rsidP="00A63CA6">
            <w:hyperlink r:id="rId24" w:history="1">
              <w:r w:rsidR="00936BD6"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25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5448CC">
        <w:trPr>
          <w:trHeight w:val="1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Seguro de Vida para Jefas de Familia</w:t>
            </w:r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Pr="005448CC" w:rsidRDefault="00936BD6" w:rsidP="005448CC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El Programa Seguro de Vida para Jefas de Familia </w:t>
            </w:r>
            <w:r w:rsidRPr="005448CC">
              <w:rPr>
                <w:rFonts w:ascii="Adobe Caslon Pro" w:eastAsia="Times New Roman" w:hAnsi="Adobe Caslon Pro" w:cs="Times New Roman"/>
                <w:b/>
                <w:bCs/>
                <w:color w:val="515151"/>
                <w:sz w:val="23"/>
                <w:szCs w:val="23"/>
              </w:rPr>
              <w:t>brinda a hijas e hijos en estado de orfandad materna, de hasta 23 años</w:t>
            </w:r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 (un día antes de cumplir los 24 años) apoyos económicos que van de los $ 315 a los $ 1’942 pesos mensuales a entregarse de manera bimestral, con la finalidad de incentivar el ingreso y/o permanencia escolar, con alcance nacional a las 32 Entidades Federativas, y los casi 2,500 municipios.</w:t>
            </w:r>
          </w:p>
          <w:p w:rsidR="00936BD6" w:rsidRPr="005448CC" w:rsidRDefault="00936BD6" w:rsidP="005448CC">
            <w:pPr>
              <w:shd w:val="clear" w:color="auto" w:fill="FAFAFA"/>
              <w:spacing w:before="100" w:beforeAutospacing="1" w:after="150" w:line="240" w:lineRule="auto"/>
              <w:jc w:val="both"/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</w:pPr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Lo anterior, a través del otorgamiento a las </w:t>
            </w:r>
            <w:r w:rsidRPr="005448CC">
              <w:rPr>
                <w:rFonts w:ascii="Adobe Caslon Pro" w:eastAsia="Times New Roman" w:hAnsi="Adobe Caslon Pro" w:cs="Times New Roman"/>
                <w:b/>
                <w:bCs/>
                <w:color w:val="515151"/>
                <w:sz w:val="23"/>
                <w:szCs w:val="23"/>
              </w:rPr>
              <w:t>jefas de familia, en condición de vulnerabilidad social, un Seguro de Vida</w:t>
            </w:r>
            <w:r w:rsidRPr="005448CC">
              <w:rPr>
                <w:rFonts w:ascii="Adobe Caslon Pro" w:eastAsia="Times New Roman" w:hAnsi="Adobe Caslon Pro" w:cs="Times New Roman"/>
                <w:color w:val="515151"/>
                <w:sz w:val="23"/>
                <w:szCs w:val="23"/>
              </w:rPr>
              <w:t>, que contribuye a ampliar la seguridad social protegiendo el bienestar socioeconómico de las mujeres en situación de carencia o pobreza.</w:t>
            </w:r>
          </w:p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  <w:p w:rsidR="00936BD6" w:rsidRPr="00AC32F8" w:rsidRDefault="00936BD6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A63C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BD6" w:rsidRDefault="007F100E" w:rsidP="00A63CA6">
            <w:hyperlink r:id="rId26" w:history="1">
              <w:r w:rsidR="00936BD6"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27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36BD6" w:rsidRPr="00AC32F8" w:rsidTr="00954968">
        <w:trPr>
          <w:trHeight w:val="494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6" w:rsidRDefault="00936BD6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3x1 para Migrantes</w:t>
            </w:r>
          </w:p>
          <w:p w:rsidR="00936BD6" w:rsidRDefault="00936BD6" w:rsidP="0026509D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6" w:rsidRDefault="00936BD6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El Programa 3x1 para Migrantes</w:t>
            </w:r>
            <w:r>
              <w:rPr>
                <w:rStyle w:val="apple-converted-space"/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 </w:t>
            </w:r>
            <w:r>
              <w:rPr>
                <w:rStyle w:val="Textoennegrita"/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apoya las iniciativas de los mexicanos que viven en el exterior y les brinda la oportunidad de canalizar recursos a México, en obras de impacto social que benefician directamente a sus comunidades de origen</w:t>
            </w:r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 xml:space="preserve">. Funciona con las aportaciones de clubes o federaciones de migrantes radicados en el extranjero, la del Gobierno Federal –a través de </w:t>
            </w:r>
            <w:proofErr w:type="spellStart"/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Sedesol</w:t>
            </w:r>
            <w:proofErr w:type="spellEnd"/>
            <w:r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  <w:t>-, y la de los gobiernos Estatal y Municipal. Por cada peso que aportan los migrantes, los gobiernos Federal, estatal y municipal ponen 3 pesos; por eso se llama 3x1.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Default="00936BD6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  <w:p w:rsidR="00936BD6" w:rsidRPr="00AC32F8" w:rsidRDefault="00936BD6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BD6" w:rsidRPr="00AC32F8" w:rsidRDefault="00936BD6" w:rsidP="00A63C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BD6" w:rsidRDefault="007F100E" w:rsidP="00A63CA6">
            <w:hyperlink r:id="rId28" w:history="1">
              <w:r w:rsidR="00936BD6"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D6" w:rsidRDefault="007F100E">
            <w:hyperlink r:id="rId29" w:history="1">
              <w:r w:rsidR="00936BD6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36BD6" w:rsidRDefault="00936BD6"/>
        </w:tc>
      </w:tr>
      <w:tr w:rsidR="00954968" w:rsidRPr="00AC32F8" w:rsidTr="00954968">
        <w:trPr>
          <w:trHeight w:val="107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8" w:rsidRDefault="0095496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8" w:rsidRDefault="00954968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 w:rsidRPr="00954968"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Programa de Fomento a la Economía Social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68" w:rsidRDefault="00954968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968" w:rsidRDefault="00954968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968" w:rsidRDefault="00954968" w:rsidP="00A63C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4968" w:rsidRDefault="007F100E" w:rsidP="00A63CA6">
            <w:hyperlink r:id="rId30" w:history="1">
              <w:r w:rsidR="00954968"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68" w:rsidRDefault="007F100E" w:rsidP="00954968">
            <w:hyperlink r:id="rId31" w:history="1">
              <w:r w:rsidR="00954968"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954968" w:rsidRDefault="00954968"/>
        </w:tc>
      </w:tr>
      <w:tr w:rsidR="007F100E" w:rsidRPr="00AC32F8" w:rsidTr="00D61CF8">
        <w:trPr>
          <w:trHeight w:val="107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0E" w:rsidRDefault="007F100E" w:rsidP="00D61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0E" w:rsidRDefault="007F100E" w:rsidP="00D61CF8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  <w:r w:rsidRPr="007F100E"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  <w:t>Estancias Infantiles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0E" w:rsidRDefault="007F100E" w:rsidP="00D61CF8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00E" w:rsidRDefault="007F100E" w:rsidP="00D61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Anual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00E" w:rsidRDefault="007F100E" w:rsidP="00D61CF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SEDESOL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00E" w:rsidRDefault="007F100E" w:rsidP="00D61CF8">
            <w:hyperlink r:id="rId32" w:history="1">
              <w:r w:rsidRPr="005448CC">
                <w:rPr>
                  <w:rStyle w:val="Hipervnculo"/>
                  <w:rFonts w:ascii="Arial" w:eastAsia="Times New Roman" w:hAnsi="Arial" w:cs="Arial"/>
                  <w:sz w:val="16"/>
                  <w:szCs w:val="16"/>
                </w:rPr>
                <w:t>REGLAS DE OPERACIÓN</w:t>
              </w:r>
            </w:hyperlink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00E" w:rsidRDefault="007F100E" w:rsidP="00D61CF8">
            <w:hyperlink r:id="rId33" w:history="1">
              <w:r w:rsidRPr="00296086">
                <w:rPr>
                  <w:rStyle w:val="Hipervnculo"/>
                </w:rPr>
                <w:t>http://www.gob.mx/sedesol/documentos/reglas-de-operacion-de-los-programas-sociales-2016</w:t>
              </w:r>
            </w:hyperlink>
          </w:p>
          <w:p w:rsidR="007F100E" w:rsidRDefault="007F100E" w:rsidP="00D61CF8"/>
        </w:tc>
      </w:tr>
      <w:tr w:rsidR="007F100E" w:rsidRPr="00AC32F8" w:rsidTr="00954968">
        <w:trPr>
          <w:trHeight w:val="107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0E" w:rsidRDefault="007F100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0E" w:rsidRPr="00954968" w:rsidRDefault="007F100E" w:rsidP="005448CC">
            <w:pPr>
              <w:pStyle w:val="Ttulo2"/>
              <w:shd w:val="clear" w:color="auto" w:fill="FAFAFA"/>
              <w:spacing w:before="150" w:beforeAutospacing="0" w:after="240" w:afterAutospacing="0" w:line="330" w:lineRule="atLeast"/>
              <w:rPr>
                <w:rFonts w:ascii="trajan" w:hAnsi="trajan"/>
                <w:b w:val="0"/>
                <w:bCs w:val="0"/>
                <w:color w:val="BA2025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0E" w:rsidRDefault="007F100E" w:rsidP="00F2489E">
            <w:pPr>
              <w:spacing w:after="0" w:line="240" w:lineRule="auto"/>
              <w:jc w:val="center"/>
              <w:rPr>
                <w:rFonts w:ascii="Adobe Caslon Pro" w:hAnsi="Adobe Caslon Pro"/>
                <w:color w:val="515151"/>
                <w:sz w:val="23"/>
                <w:szCs w:val="23"/>
                <w:shd w:val="clear" w:color="auto" w:fill="FAFAF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00E" w:rsidRDefault="007F100E" w:rsidP="00A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00E" w:rsidRDefault="007F100E" w:rsidP="00A63C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00E" w:rsidRDefault="007F100E" w:rsidP="00A63CA6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00E" w:rsidRDefault="007F100E" w:rsidP="00954968"/>
        </w:tc>
      </w:tr>
    </w:tbl>
    <w:p w:rsidR="00716EAA" w:rsidRDefault="00716EAA" w:rsidP="00F94835">
      <w:pPr>
        <w:jc w:val="center"/>
        <w:rPr>
          <w:rFonts w:ascii="Arial" w:hAnsi="Arial" w:cs="Arial"/>
          <w:b/>
          <w:sz w:val="24"/>
          <w:szCs w:val="24"/>
        </w:rPr>
      </w:pPr>
    </w:p>
    <w:p w:rsidR="005448CC" w:rsidRDefault="007F100E" w:rsidP="005448C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hyperlink r:id="rId34" w:history="1">
        <w:r w:rsidR="005448CC" w:rsidRPr="00FD47BF">
          <w:rPr>
            <w:rStyle w:val="Hipervnculo"/>
            <w:rFonts w:ascii="Arial" w:eastAsia="Times New Roman" w:hAnsi="Arial" w:cs="Arial"/>
            <w:sz w:val="16"/>
            <w:szCs w:val="16"/>
          </w:rPr>
          <w:t>http://www.sedesol.gob.mx/es/SEDESOL/Padron_de_Beneficiarios</w:t>
        </w:r>
      </w:hyperlink>
    </w:p>
    <w:p w:rsidR="00EA5E70" w:rsidRDefault="00EA5E70" w:rsidP="00F948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2"/>
        <w:tblW w:w="7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456"/>
      </w:tblGrid>
      <w:tr w:rsidR="00FE594B" w:rsidRPr="00A325EF" w:rsidTr="00FE594B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Área productora de información</w:t>
            </w:r>
          </w:p>
        </w:tc>
        <w:tc>
          <w:tcPr>
            <w:tcW w:w="2456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Responsable de acceso a la información pública</w:t>
            </w:r>
          </w:p>
        </w:tc>
      </w:tr>
      <w:tr w:rsidR="00FE594B" w:rsidRPr="00A325EF" w:rsidTr="00FE594B">
        <w:tc>
          <w:tcPr>
            <w:tcW w:w="2330" w:type="dxa"/>
            <w:vAlign w:val="center"/>
          </w:tcPr>
          <w:p w:rsidR="00FE594B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FE594B" w:rsidRDefault="00A63CA6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09/05/2016</w:t>
            </w:r>
          </w:p>
          <w:p w:rsidR="00FE594B" w:rsidRPr="00620CFC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90552" w:rsidRPr="00620CFC" w:rsidRDefault="004B7600" w:rsidP="00F2489E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SEDESOL</w:t>
            </w:r>
            <w:r w:rsidR="00F90552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AE6B08" w:rsidRPr="00EF054B" w:rsidRDefault="00AE6B08" w:rsidP="00AE6B0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E594B" w:rsidRPr="00620CFC" w:rsidRDefault="00AE6B08" w:rsidP="00AE6B0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C210B3" w:rsidRDefault="00C210B3" w:rsidP="00F94835">
      <w:pPr>
        <w:jc w:val="center"/>
        <w:rPr>
          <w:rFonts w:ascii="Arial" w:hAnsi="Arial" w:cs="Arial"/>
          <w:b/>
          <w:sz w:val="24"/>
          <w:szCs w:val="24"/>
        </w:rPr>
      </w:pPr>
    </w:p>
    <w:p w:rsidR="001169EE" w:rsidRDefault="001169EE" w:rsidP="001169E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1103" w:rsidRDefault="00BF1103"/>
    <w:sectPr w:rsidR="00BF1103" w:rsidSect="0044192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68" w:rsidRDefault="00954968" w:rsidP="0087192B">
      <w:pPr>
        <w:spacing w:after="0" w:line="240" w:lineRule="auto"/>
      </w:pPr>
      <w:r>
        <w:separator/>
      </w:r>
    </w:p>
  </w:endnote>
  <w:endnote w:type="continuationSeparator" w:id="0">
    <w:p w:rsidR="00954968" w:rsidRDefault="00954968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default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68" w:rsidRDefault="009549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68" w:rsidRDefault="009549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68" w:rsidRDefault="009549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68" w:rsidRDefault="00954968" w:rsidP="0087192B">
      <w:pPr>
        <w:spacing w:after="0" w:line="240" w:lineRule="auto"/>
      </w:pPr>
      <w:r>
        <w:separator/>
      </w:r>
    </w:p>
  </w:footnote>
  <w:footnote w:type="continuationSeparator" w:id="0">
    <w:p w:rsidR="00954968" w:rsidRDefault="00954968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68" w:rsidRDefault="009549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954968" w:rsidRDefault="00954968" w:rsidP="004137FF">
        <w:pPr>
          <w:pStyle w:val="Encabezado"/>
          <w:jc w:val="right"/>
        </w:pPr>
      </w:p>
      <w:p w:rsidR="00954968" w:rsidRDefault="007F100E" w:rsidP="0087192B">
        <w:pPr>
          <w:pStyle w:val="Encabezado"/>
          <w:jc w:val="right"/>
        </w:pPr>
      </w:p>
    </w:sdtContent>
  </w:sdt>
  <w:p w:rsidR="00954968" w:rsidRDefault="009549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68" w:rsidRDefault="009549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31E4"/>
    <w:rsid w:val="00011F15"/>
    <w:rsid w:val="00054BC8"/>
    <w:rsid w:val="000573E4"/>
    <w:rsid w:val="0009504E"/>
    <w:rsid w:val="000A648A"/>
    <w:rsid w:val="000A7F7C"/>
    <w:rsid w:val="000D5A31"/>
    <w:rsid w:val="000F49C7"/>
    <w:rsid w:val="000F5582"/>
    <w:rsid w:val="001169EE"/>
    <w:rsid w:val="00124AAE"/>
    <w:rsid w:val="00150316"/>
    <w:rsid w:val="00205B0F"/>
    <w:rsid w:val="002304DE"/>
    <w:rsid w:val="00232AC5"/>
    <w:rsid w:val="00241863"/>
    <w:rsid w:val="002560FB"/>
    <w:rsid w:val="0026509D"/>
    <w:rsid w:val="00271DC6"/>
    <w:rsid w:val="00273965"/>
    <w:rsid w:val="0028042D"/>
    <w:rsid w:val="00295248"/>
    <w:rsid w:val="002D386C"/>
    <w:rsid w:val="002D5FD0"/>
    <w:rsid w:val="002E3CAC"/>
    <w:rsid w:val="003433C5"/>
    <w:rsid w:val="003D7935"/>
    <w:rsid w:val="004137FF"/>
    <w:rsid w:val="00441923"/>
    <w:rsid w:val="0046241B"/>
    <w:rsid w:val="00463DD0"/>
    <w:rsid w:val="004B7600"/>
    <w:rsid w:val="005062DB"/>
    <w:rsid w:val="00516124"/>
    <w:rsid w:val="005448CC"/>
    <w:rsid w:val="005627A6"/>
    <w:rsid w:val="005829EE"/>
    <w:rsid w:val="005863EF"/>
    <w:rsid w:val="005B3D88"/>
    <w:rsid w:val="005B4DD1"/>
    <w:rsid w:val="0062617C"/>
    <w:rsid w:val="006504BA"/>
    <w:rsid w:val="00696D76"/>
    <w:rsid w:val="006A012C"/>
    <w:rsid w:val="006B32F9"/>
    <w:rsid w:val="006D4F25"/>
    <w:rsid w:val="006F3858"/>
    <w:rsid w:val="00716EAA"/>
    <w:rsid w:val="007230D8"/>
    <w:rsid w:val="00724E78"/>
    <w:rsid w:val="00741724"/>
    <w:rsid w:val="00791EDB"/>
    <w:rsid w:val="007F100E"/>
    <w:rsid w:val="00823E29"/>
    <w:rsid w:val="00851EF2"/>
    <w:rsid w:val="0087192B"/>
    <w:rsid w:val="00876E6F"/>
    <w:rsid w:val="008A4280"/>
    <w:rsid w:val="00936BD6"/>
    <w:rsid w:val="00937AC7"/>
    <w:rsid w:val="00943ABC"/>
    <w:rsid w:val="00954968"/>
    <w:rsid w:val="009556F1"/>
    <w:rsid w:val="0096178E"/>
    <w:rsid w:val="00987D21"/>
    <w:rsid w:val="009B2AC4"/>
    <w:rsid w:val="009C2FD7"/>
    <w:rsid w:val="009E78C7"/>
    <w:rsid w:val="00A16E06"/>
    <w:rsid w:val="00A63CA6"/>
    <w:rsid w:val="00AD71E0"/>
    <w:rsid w:val="00AE36B6"/>
    <w:rsid w:val="00AE6B08"/>
    <w:rsid w:val="00AF6EF9"/>
    <w:rsid w:val="00B240EC"/>
    <w:rsid w:val="00B364C2"/>
    <w:rsid w:val="00B54ABB"/>
    <w:rsid w:val="00B5696F"/>
    <w:rsid w:val="00B91810"/>
    <w:rsid w:val="00BC61C2"/>
    <w:rsid w:val="00BF1103"/>
    <w:rsid w:val="00C210B3"/>
    <w:rsid w:val="00C84D42"/>
    <w:rsid w:val="00CF1C42"/>
    <w:rsid w:val="00DE1CCB"/>
    <w:rsid w:val="00E65868"/>
    <w:rsid w:val="00EA5E70"/>
    <w:rsid w:val="00EC2EF8"/>
    <w:rsid w:val="00EE0E4F"/>
    <w:rsid w:val="00EE5BF9"/>
    <w:rsid w:val="00EF76ED"/>
    <w:rsid w:val="00F2489E"/>
    <w:rsid w:val="00F31827"/>
    <w:rsid w:val="00F33A76"/>
    <w:rsid w:val="00F37C8B"/>
    <w:rsid w:val="00F40362"/>
    <w:rsid w:val="00F50AB7"/>
    <w:rsid w:val="00F56CA2"/>
    <w:rsid w:val="00F57F6B"/>
    <w:rsid w:val="00F90552"/>
    <w:rsid w:val="00F94835"/>
    <w:rsid w:val="00FB136E"/>
    <w:rsid w:val="00FC563F"/>
    <w:rsid w:val="00FD36C7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paragraph" w:styleId="Ttulo2">
    <w:name w:val="heading 2"/>
    <w:basedOn w:val="Normal"/>
    <w:link w:val="Ttulo2Car"/>
    <w:uiPriority w:val="9"/>
    <w:qFormat/>
    <w:rsid w:val="00265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41923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552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6509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265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paragraph" w:styleId="Ttulo2">
    <w:name w:val="heading 2"/>
    <w:basedOn w:val="Normal"/>
    <w:link w:val="Ttulo2Car"/>
    <w:uiPriority w:val="9"/>
    <w:qFormat/>
    <w:rsid w:val="00265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41923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552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6509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26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cms/uploads/attachment/file/45623/ROP_2016_PAIMEF.pdf" TargetMode="External"/><Relationship Id="rId13" Type="http://schemas.openxmlformats.org/officeDocument/2006/relationships/hyperlink" Target="http://www.gob.mx/sedesol/documentos/reglas-de-operacion-de-los-programas-sociales-2016" TargetMode="External"/><Relationship Id="rId18" Type="http://schemas.openxmlformats.org/officeDocument/2006/relationships/hyperlink" Target="http://www.gob.mx/cms/uploads/attachment/file/45618/ROP_2016_FONART.pdf" TargetMode="External"/><Relationship Id="rId26" Type="http://schemas.openxmlformats.org/officeDocument/2006/relationships/hyperlink" Target="http://www.gob.mx/cms/uploads/attachment/file/45626/ROP_2016_SVJF.pdf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gob.mx/sedesol/documentos/reglas-de-operacion-de-los-programas-sociales-2016" TargetMode="External"/><Relationship Id="rId34" Type="http://schemas.openxmlformats.org/officeDocument/2006/relationships/hyperlink" Target="http://www.sedesol.gob.mx/es/SEDESOL/Padron_de_Beneficiario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b.mx/cms/uploads/attachment/file/45615/ROP_2016_Coinversi_n_Social.pdf" TargetMode="External"/><Relationship Id="rId17" Type="http://schemas.openxmlformats.org/officeDocument/2006/relationships/hyperlink" Target="http://www.gob.mx/sedesol/documentos/reglas-de-operacion-de-los-programas-sociales-2016" TargetMode="External"/><Relationship Id="rId25" Type="http://schemas.openxmlformats.org/officeDocument/2006/relationships/hyperlink" Target="http://www.gob.mx/sedesol/documentos/reglas-de-operacion-de-los-programas-sociales-2016" TargetMode="External"/><Relationship Id="rId33" Type="http://schemas.openxmlformats.org/officeDocument/2006/relationships/hyperlink" Target="http://www.gob.mx/sedesol/documentos/reglas-de-operacion-de-los-programas-sociales-2016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gob.mx/cms/uploads/attachment/file/45625/ROP_2016_PET.pdf" TargetMode="External"/><Relationship Id="rId20" Type="http://schemas.openxmlformats.org/officeDocument/2006/relationships/hyperlink" Target="http://www.gob.mx/cms/uploads/attachment/file/45622/ROP_2016_LICONSA.pdf" TargetMode="External"/><Relationship Id="rId29" Type="http://schemas.openxmlformats.org/officeDocument/2006/relationships/hyperlink" Target="http://www.gob.mx/sedesol/documentos/reglas-de-operacion-de-los-programas-sociales-201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b.mx/sedesol/documentos/reglas-de-operacion-de-los-programas-sociales-2016" TargetMode="External"/><Relationship Id="rId24" Type="http://schemas.openxmlformats.org/officeDocument/2006/relationships/hyperlink" Target="http://www.gob.mx/cms/uploads/attachment/file/45627/ROP_2016_PROSPERA.pdf" TargetMode="External"/><Relationship Id="rId32" Type="http://schemas.openxmlformats.org/officeDocument/2006/relationships/hyperlink" Target="http://www.gob.mx/cms/uploads/attachment/file/45619/ROP_2016_Estancias_Infantiles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ob.mx/sedesol/documentos/reglas-de-operacion-de-los-programas-sociales-2016" TargetMode="External"/><Relationship Id="rId23" Type="http://schemas.openxmlformats.org/officeDocument/2006/relationships/hyperlink" Target="http://www.gob.mx/sedesol/documentos/reglas-de-operacion-de-los-programas-sociales-2016" TargetMode="External"/><Relationship Id="rId28" Type="http://schemas.openxmlformats.org/officeDocument/2006/relationships/hyperlink" Target="http://www.gob.mx/cms/uploads/attachment/file/45616/ROP_2016_3x1_Migrantes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gob.mx/cms/uploads/attachment/file/45620/ROP_2016_Jornaleros_Agr_colas.pdf" TargetMode="External"/><Relationship Id="rId19" Type="http://schemas.openxmlformats.org/officeDocument/2006/relationships/hyperlink" Target="http://www.gob.mx/sedesol/documentos/reglas-de-operacion-de-los-programas-sociales-2016" TargetMode="External"/><Relationship Id="rId31" Type="http://schemas.openxmlformats.org/officeDocument/2006/relationships/hyperlink" Target="http://www.gob.mx/sedesol/documentos/reglas-de-operacion-de-los-programas-sociales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.mx/sedesol/documentos/reglas-de-operacion-de-los-programas-sociales-2016" TargetMode="External"/><Relationship Id="rId14" Type="http://schemas.openxmlformats.org/officeDocument/2006/relationships/hyperlink" Target="http://www.gob.mx/cms/uploads/attachment/file/45617/ROP_2016_DICONSA.pdf" TargetMode="External"/><Relationship Id="rId22" Type="http://schemas.openxmlformats.org/officeDocument/2006/relationships/hyperlink" Target="http://www.gob.mx/cms/uploads/attachment/file/45624/ROP_2016_Pensi_n_Adultos_Mayores.pdf" TargetMode="External"/><Relationship Id="rId27" Type="http://schemas.openxmlformats.org/officeDocument/2006/relationships/hyperlink" Target="http://www.gob.mx/sedesol/documentos/reglas-de-operacion-de-los-programas-sociales-2016" TargetMode="External"/><Relationship Id="rId30" Type="http://schemas.openxmlformats.org/officeDocument/2006/relationships/hyperlink" Target="http://www.gob.mx/cms/uploads/attachment/file/45621/ROP_2016_INAES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1654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6</cp:revision>
  <dcterms:created xsi:type="dcterms:W3CDTF">2015-11-06T19:07:00Z</dcterms:created>
  <dcterms:modified xsi:type="dcterms:W3CDTF">2016-05-19T14:18:00Z</dcterms:modified>
</cp:coreProperties>
</file>